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化学工程博士（全日制）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选课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600" w:firstLineChars="25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选课范围：化学工程课程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设置与学分分配表中所列课程。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600" w:firstLineChars="25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选课网址：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://yjs.nankai.edu.cn/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240" w:firstLineChars="10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特别说明：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选课时只选本学期的课程，选课时间结束后，选课系统将自动锁定，无法进行选课、退课等操作。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2、不选课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给予成绩。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3、学生原始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不再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进行补录、修改和不显示处理。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（详见：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南开大学关于加强专业学位研究生课程及成绩管理的通知）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4、《化工科学前言进展》、《化工技术前言进展》、《专业实践讲座》、《学术会议》为讲座课程，具体时间请见化学学院网站或者微信群通知。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600" w:firstLineChars="25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48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 xml:space="preserve"> 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01df7897-94ae-4896-8a77-55d3bc742f65"/>
  </w:docVars>
  <w:rsids>
    <w:rsidRoot w:val="006351E0"/>
    <w:rsid w:val="0027298A"/>
    <w:rsid w:val="003A64C8"/>
    <w:rsid w:val="005B7386"/>
    <w:rsid w:val="006351E0"/>
    <w:rsid w:val="006C0202"/>
    <w:rsid w:val="008A6702"/>
    <w:rsid w:val="00943B02"/>
    <w:rsid w:val="00B45F61"/>
    <w:rsid w:val="00E0120F"/>
    <w:rsid w:val="00E45545"/>
    <w:rsid w:val="00F42A3D"/>
    <w:rsid w:val="00FD7434"/>
    <w:rsid w:val="0317045E"/>
    <w:rsid w:val="0E9E2E0D"/>
    <w:rsid w:val="11B06050"/>
    <w:rsid w:val="1570542F"/>
    <w:rsid w:val="1D9D2538"/>
    <w:rsid w:val="330434F4"/>
    <w:rsid w:val="34925A36"/>
    <w:rsid w:val="3DD70D38"/>
    <w:rsid w:val="45436D2F"/>
    <w:rsid w:val="499F1437"/>
    <w:rsid w:val="52033522"/>
    <w:rsid w:val="571272AA"/>
    <w:rsid w:val="60766D95"/>
    <w:rsid w:val="61A02E5B"/>
    <w:rsid w:val="61F9136F"/>
    <w:rsid w:val="62217FC0"/>
    <w:rsid w:val="7A1B49C5"/>
    <w:rsid w:val="7B2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293</Words>
  <Characters>393</Characters>
  <Lines>2</Lines>
  <Paragraphs>1</Paragraphs>
  <TotalTime>47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2019-08-30T02:45:00Z</dcterms:created>
  <dc:creator>User</dc:creator>
  <cp:lastModifiedBy>LILY</cp:lastModifiedBy>
  <dcterms:modified xsi:type="dcterms:W3CDTF">2025-09-01T08:58:06Z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A0FC88F9CF25413D8149947093BCD95F</vt:lpwstr>
  </property>
</Properties>
</file>